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1AF35483"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w:t>
      </w:r>
      <w:r w:rsidR="00F62A39">
        <w:t>Leščan</w:t>
      </w:r>
      <w:r>
        <w:t xml:space="preserve"> in order to issue an exploration license for geothermal waters for energy purposes in accordance with the Bidding Round Documentation, CLASS: </w:t>
      </w:r>
      <w:r w:rsidRPr="001A3695">
        <w:t>310-34/2</w:t>
      </w:r>
      <w:r w:rsidR="00F62A39">
        <w:t>1</w:t>
      </w:r>
      <w:r w:rsidRPr="001A3695">
        <w:t>-01/0</w:t>
      </w:r>
      <w:r w:rsidR="00F62A39">
        <w:t>5</w:t>
      </w:r>
      <w:r>
        <w:t xml:space="preserve">, RE: </w:t>
      </w:r>
      <w:r w:rsidRPr="001A3695">
        <w:t>405-01/01-22-</w:t>
      </w:r>
      <w:r w:rsidR="00F62A39">
        <w:t>5</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69FFB302" w14:textId="77777777" w:rsidR="00B51C21" w:rsidRDefault="00B51C21" w:rsidP="00B51C21">
      <w:pPr>
        <w:pStyle w:val="ListParagraph"/>
        <w:spacing w:before="120" w:after="240"/>
        <w:contextualSpacing w:val="0"/>
        <w:jc w:val="both"/>
        <w:rPr>
          <w:rFonts w:cs="Times New Roman"/>
          <w:bCs/>
          <w:szCs w:val="24"/>
        </w:rPr>
      </w:pPr>
    </w:p>
    <w:p w14:paraId="7EB6CB63" w14:textId="77777777" w:rsidR="00873A85" w:rsidRDefault="00873A85" w:rsidP="00873A85">
      <w:pPr>
        <w:pStyle w:val="ListParagraph"/>
        <w:numPr>
          <w:ilvl w:val="0"/>
          <w:numId w:val="1"/>
        </w:numPr>
        <w:spacing w:before="120" w:after="240"/>
        <w:ind w:left="714" w:hanging="357"/>
        <w:jc w:val="both"/>
        <w:rPr>
          <w:rFonts w:cs="Times New Roman"/>
          <w:bCs/>
          <w:szCs w:val="24"/>
        </w:rPr>
      </w:pPr>
      <w:bookmarkStart w:id="3" w:name="_Hlk115088172"/>
      <w:bookmarkStart w:id="4" w:name="_Hlk135144627"/>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45A58D86" w14:textId="77777777" w:rsidR="00873A85" w:rsidRPr="00D37F1E" w:rsidRDefault="00873A85" w:rsidP="00873A85">
      <w:pPr>
        <w:pStyle w:val="ListParagraph"/>
        <w:contextualSpacing w:val="0"/>
        <w:rPr>
          <w:rFonts w:cs="Times New Roman"/>
          <w:bCs/>
          <w:szCs w:val="24"/>
        </w:rPr>
      </w:pPr>
    </w:p>
    <w:p w14:paraId="7B33318E" w14:textId="69D1F6C3" w:rsidR="00873A85" w:rsidRPr="00B51C21" w:rsidRDefault="00873A85" w:rsidP="00873A85">
      <w:pPr>
        <w:pStyle w:val="ListParagraph"/>
        <w:numPr>
          <w:ilvl w:val="0"/>
          <w:numId w:val="1"/>
        </w:numPr>
        <w:spacing w:before="120" w:after="240"/>
        <w:ind w:left="714" w:hanging="357"/>
        <w:jc w:val="both"/>
        <w:rPr>
          <w:rFonts w:cs="Times New Roman"/>
          <w:bCs/>
          <w:szCs w:val="24"/>
        </w:rPr>
      </w:pPr>
      <w:r>
        <w:t>In addition to the terms and conditions of this Guarantee, the Bank shall pay the Guaranteed Amount, in whole or in part, on the basis of a written request for payment from the Beneficiary of the Guarantee specifying</w:t>
      </w:r>
      <w:r w:rsidRPr="00B51C21">
        <w:t xml:space="preserve"> one or more circumstances on the basis of which payment under the Guarantee is requested, without the obligation of the </w:t>
      </w:r>
      <w:r>
        <w:t>Beneficiary</w:t>
      </w:r>
      <w:r w:rsidRPr="00B51C21">
        <w:t xml:space="preserve"> </w:t>
      </w:r>
      <w:r>
        <w:t xml:space="preserve">of the Guarantee </w:t>
      </w:r>
      <w:r w:rsidRPr="00B51C21">
        <w:t xml:space="preserve">to justify </w:t>
      </w:r>
      <w:r>
        <w:t>its</w:t>
      </w:r>
      <w:r w:rsidRPr="00B51C21">
        <w:t xml:space="preserve"> request, and where the amount requested for payment has not been otherwise paid, directly or indirectly, by </w:t>
      </w:r>
      <w:r>
        <w:t xml:space="preserve">or on behalf of </w:t>
      </w:r>
      <w:r w:rsidRPr="00B51C21">
        <w:t>the Principal.</w:t>
      </w:r>
    </w:p>
    <w:p w14:paraId="760119A8" w14:textId="77777777" w:rsidR="00873A85" w:rsidRPr="00B51C21" w:rsidRDefault="00873A85" w:rsidP="00873A85">
      <w:pPr>
        <w:pStyle w:val="ListParagraph"/>
        <w:rPr>
          <w:rFonts w:cs="Times New Roman"/>
          <w:bCs/>
          <w:szCs w:val="24"/>
        </w:rPr>
      </w:pPr>
    </w:p>
    <w:p w14:paraId="234232A7" w14:textId="77777777" w:rsidR="00873A85" w:rsidRPr="00B51C21" w:rsidRDefault="00873A85" w:rsidP="00873A85">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3D9DE472" w14:textId="77777777" w:rsidR="00873A85" w:rsidRDefault="00873A85" w:rsidP="00873A85">
      <w:pPr>
        <w:pStyle w:val="ListParagraph"/>
        <w:spacing w:before="120" w:after="240"/>
        <w:contextualSpacing w:val="0"/>
        <w:jc w:val="both"/>
        <w:rPr>
          <w:rFonts w:cs="Times New Roman"/>
          <w:bCs/>
          <w:szCs w:val="24"/>
        </w:rPr>
      </w:pPr>
    </w:p>
    <w:p w14:paraId="6D51B098" w14:textId="77777777" w:rsidR="00873A85" w:rsidRPr="00DD1780" w:rsidRDefault="00873A85" w:rsidP="00873A85">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p>
    <w:bookmarkEnd w:id="3"/>
    <w:bookmarkEnd w:id="4"/>
    <w:p w14:paraId="15BE964C" w14:textId="77777777" w:rsidR="00B51C21" w:rsidRPr="00DD1780" w:rsidRDefault="00B51C21" w:rsidP="00B51C21">
      <w:pPr>
        <w:spacing w:before="120" w:after="120"/>
        <w:jc w:val="both"/>
        <w:rPr>
          <w:rFonts w:cs="Times New Roman"/>
          <w:bCs/>
          <w:szCs w:val="24"/>
        </w:rPr>
      </w:pPr>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636878"/>
    <w:rsid w:val="00673E99"/>
    <w:rsid w:val="00873A85"/>
    <w:rsid w:val="009E6F63"/>
    <w:rsid w:val="00B51C21"/>
    <w:rsid w:val="00F62A39"/>
    <w:rsid w:val="00F924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7</cp:revision>
  <dcterms:created xsi:type="dcterms:W3CDTF">2023-05-16T12:48:00Z</dcterms:created>
  <dcterms:modified xsi:type="dcterms:W3CDTF">2023-05-16T13:54:00Z</dcterms:modified>
</cp:coreProperties>
</file>